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A4" w:rsidRPr="00740594" w:rsidRDefault="004B08EA" w:rsidP="00165993">
      <w:pPr>
        <w:pStyle w:val="NoSpacing"/>
        <w:rPr>
          <w:b/>
          <w:szCs w:val="24"/>
          <w:u w:val="single"/>
        </w:rPr>
      </w:pPr>
      <w:r w:rsidRPr="00740594">
        <w:rPr>
          <w:b/>
          <w:szCs w:val="24"/>
          <w:u w:val="single"/>
        </w:rPr>
        <w:t>Annual</w:t>
      </w:r>
      <w:r w:rsidR="005756E0" w:rsidRPr="00740594">
        <w:rPr>
          <w:b/>
          <w:szCs w:val="24"/>
          <w:u w:val="single"/>
        </w:rPr>
        <w:t xml:space="preserve"> Reporting </w:t>
      </w:r>
      <w:r w:rsidRPr="00740594">
        <w:rPr>
          <w:b/>
          <w:szCs w:val="24"/>
          <w:u w:val="single"/>
        </w:rPr>
        <w:t>Cycle</w:t>
      </w:r>
    </w:p>
    <w:p w:rsidR="00F441AD" w:rsidRPr="00740594" w:rsidRDefault="00EB47D2" w:rsidP="00165993">
      <w:pPr>
        <w:pStyle w:val="NoSpacing"/>
        <w:numPr>
          <w:ilvl w:val="0"/>
          <w:numId w:val="15"/>
        </w:numPr>
        <w:ind w:left="360"/>
        <w:rPr>
          <w:szCs w:val="24"/>
        </w:rPr>
      </w:pPr>
      <w:r w:rsidRPr="00740594">
        <w:rPr>
          <w:szCs w:val="24"/>
        </w:rPr>
        <w:t>A program</w:t>
      </w:r>
      <w:r w:rsidR="004B08EA" w:rsidRPr="00740594">
        <w:rPr>
          <w:szCs w:val="24"/>
        </w:rPr>
        <w:t xml:space="preserve"> will be on </w:t>
      </w:r>
      <w:r w:rsidRPr="00740594">
        <w:rPr>
          <w:szCs w:val="24"/>
        </w:rPr>
        <w:t>the</w:t>
      </w:r>
      <w:r w:rsidR="004B08EA" w:rsidRPr="00740594">
        <w:rPr>
          <w:szCs w:val="24"/>
        </w:rPr>
        <w:t xml:space="preserve"> annual </w:t>
      </w:r>
      <w:r w:rsidR="005756E0" w:rsidRPr="00740594">
        <w:rPr>
          <w:szCs w:val="24"/>
        </w:rPr>
        <w:t xml:space="preserve">cycle </w:t>
      </w:r>
      <w:r w:rsidRPr="00740594">
        <w:rPr>
          <w:szCs w:val="24"/>
        </w:rPr>
        <w:t>unless it</w:t>
      </w:r>
      <w:r w:rsidR="004B08EA" w:rsidRPr="00740594">
        <w:rPr>
          <w:szCs w:val="24"/>
        </w:rPr>
        <w:t xml:space="preserve"> </w:t>
      </w:r>
      <w:r w:rsidR="00F441AD" w:rsidRPr="00740594">
        <w:rPr>
          <w:szCs w:val="24"/>
        </w:rPr>
        <w:t>request</w:t>
      </w:r>
      <w:r w:rsidRPr="00740594">
        <w:rPr>
          <w:szCs w:val="24"/>
        </w:rPr>
        <w:t>s and is</w:t>
      </w:r>
      <w:r w:rsidR="00F441AD" w:rsidRPr="00740594">
        <w:rPr>
          <w:szCs w:val="24"/>
        </w:rPr>
        <w:t xml:space="preserve"> approved </w:t>
      </w:r>
      <w:r w:rsidR="00CC3807" w:rsidRPr="00740594">
        <w:rPr>
          <w:szCs w:val="24"/>
        </w:rPr>
        <w:t>for the</w:t>
      </w:r>
      <w:r w:rsidR="004B08EA" w:rsidRPr="00740594">
        <w:rPr>
          <w:szCs w:val="24"/>
        </w:rPr>
        <w:t xml:space="preserve"> two-year </w:t>
      </w:r>
      <w:r w:rsidR="00CC3807" w:rsidRPr="00740594">
        <w:rPr>
          <w:szCs w:val="24"/>
        </w:rPr>
        <w:t>option</w:t>
      </w:r>
      <w:r w:rsidR="004B08EA" w:rsidRPr="00740594">
        <w:rPr>
          <w:szCs w:val="24"/>
        </w:rPr>
        <w:t xml:space="preserve">. </w:t>
      </w:r>
      <w:r w:rsidR="00DF4C99" w:rsidRPr="00740594">
        <w:rPr>
          <w:szCs w:val="24"/>
        </w:rPr>
        <w:t xml:space="preserve">  </w:t>
      </w:r>
    </w:p>
    <w:p w:rsidR="00F441AD" w:rsidRPr="00740594" w:rsidRDefault="00F441AD" w:rsidP="00165993">
      <w:pPr>
        <w:pStyle w:val="NoSpacing"/>
        <w:numPr>
          <w:ilvl w:val="0"/>
          <w:numId w:val="15"/>
        </w:numPr>
        <w:ind w:left="360"/>
        <w:rPr>
          <w:szCs w:val="24"/>
        </w:rPr>
      </w:pPr>
      <w:r w:rsidRPr="00740594">
        <w:rPr>
          <w:szCs w:val="24"/>
        </w:rPr>
        <w:t xml:space="preserve">New programs will begin </w:t>
      </w:r>
      <w:r w:rsidR="00727E07" w:rsidRPr="00740594">
        <w:rPr>
          <w:szCs w:val="24"/>
        </w:rPr>
        <w:t xml:space="preserve">on </w:t>
      </w:r>
      <w:r w:rsidRPr="00740594">
        <w:rPr>
          <w:szCs w:val="24"/>
        </w:rPr>
        <w:t xml:space="preserve">the annual reporting cycle </w:t>
      </w:r>
      <w:r w:rsidR="00727E07" w:rsidRPr="00740594">
        <w:rPr>
          <w:szCs w:val="24"/>
        </w:rPr>
        <w:t>during the</w:t>
      </w:r>
      <w:r w:rsidRPr="00740594">
        <w:rPr>
          <w:szCs w:val="24"/>
        </w:rPr>
        <w:t xml:space="preserve"> </w:t>
      </w:r>
      <w:r w:rsidR="00E911EB" w:rsidRPr="00740594">
        <w:rPr>
          <w:szCs w:val="24"/>
        </w:rPr>
        <w:t xml:space="preserve">first </w:t>
      </w:r>
      <w:r w:rsidRPr="00740594">
        <w:rPr>
          <w:szCs w:val="24"/>
        </w:rPr>
        <w:t>year they have graduates.</w:t>
      </w:r>
    </w:p>
    <w:p w:rsidR="002A19D6" w:rsidRPr="00740594" w:rsidRDefault="00EB47D2" w:rsidP="00165993">
      <w:pPr>
        <w:pStyle w:val="NoSpacing"/>
        <w:numPr>
          <w:ilvl w:val="0"/>
          <w:numId w:val="15"/>
        </w:numPr>
        <w:ind w:left="360"/>
        <w:rPr>
          <w:szCs w:val="24"/>
        </w:rPr>
      </w:pPr>
      <w:r w:rsidRPr="00740594">
        <w:rPr>
          <w:szCs w:val="24"/>
        </w:rPr>
        <w:t xml:space="preserve">A minimum of </w:t>
      </w:r>
      <w:r w:rsidR="00165993">
        <w:rPr>
          <w:szCs w:val="24"/>
        </w:rPr>
        <w:t>two</w:t>
      </w:r>
      <w:r w:rsidRPr="00740594">
        <w:rPr>
          <w:szCs w:val="24"/>
        </w:rPr>
        <w:t xml:space="preserve"> outcomes will be assessed each year.  </w:t>
      </w:r>
      <w:r w:rsidR="002A19D6" w:rsidRPr="00740594">
        <w:rPr>
          <w:szCs w:val="24"/>
        </w:rPr>
        <w:t xml:space="preserve">All learning outcomes must be assessed </w:t>
      </w:r>
      <w:r w:rsidR="00E911EB" w:rsidRPr="00740594">
        <w:rPr>
          <w:szCs w:val="24"/>
        </w:rPr>
        <w:t xml:space="preserve">at least </w:t>
      </w:r>
      <w:r w:rsidR="00480515">
        <w:rPr>
          <w:szCs w:val="24"/>
        </w:rPr>
        <w:t xml:space="preserve">once </w:t>
      </w:r>
      <w:r w:rsidR="00165993">
        <w:rPr>
          <w:szCs w:val="24"/>
        </w:rPr>
        <w:t>during the period between program reviews (five-six years) to</w:t>
      </w:r>
      <w:r w:rsidR="009E6AF5" w:rsidRPr="00740594">
        <w:rPr>
          <w:szCs w:val="24"/>
        </w:rPr>
        <w:t xml:space="preserve"> provide data for program reviews and comply with external standards.</w:t>
      </w:r>
    </w:p>
    <w:p w:rsidR="00F441AD" w:rsidRPr="00740594" w:rsidRDefault="00F441AD" w:rsidP="00165993">
      <w:pPr>
        <w:pStyle w:val="NoSpacing"/>
        <w:rPr>
          <w:szCs w:val="24"/>
        </w:rPr>
      </w:pPr>
    </w:p>
    <w:p w:rsidR="005756E0" w:rsidRPr="00740594" w:rsidRDefault="005756E0" w:rsidP="00165993">
      <w:pPr>
        <w:pStyle w:val="NoSpacing"/>
        <w:ind w:left="720"/>
        <w:rPr>
          <w:b/>
          <w:szCs w:val="24"/>
        </w:rPr>
      </w:pPr>
      <w:r w:rsidRPr="00740594">
        <w:rPr>
          <w:b/>
          <w:szCs w:val="24"/>
        </w:rPr>
        <w:t>Documents submitted</w:t>
      </w:r>
      <w:r w:rsidR="00DF4C99" w:rsidRPr="00740594">
        <w:rPr>
          <w:b/>
          <w:szCs w:val="24"/>
        </w:rPr>
        <w:t xml:space="preserve"> in an annual reporting cycle</w:t>
      </w:r>
      <w:r w:rsidR="00DF4C99" w:rsidRPr="00740594">
        <w:rPr>
          <w:b/>
          <w:szCs w:val="24"/>
        </w:rPr>
        <w:tab/>
      </w:r>
    </w:p>
    <w:p w:rsidR="005756E0" w:rsidRPr="00740594" w:rsidRDefault="004C2FB4" w:rsidP="00165993">
      <w:pPr>
        <w:pStyle w:val="NoSpacing"/>
        <w:numPr>
          <w:ilvl w:val="0"/>
          <w:numId w:val="17"/>
        </w:numPr>
        <w:rPr>
          <w:szCs w:val="24"/>
        </w:rPr>
      </w:pPr>
      <w:r w:rsidRPr="00740594">
        <w:rPr>
          <w:szCs w:val="24"/>
        </w:rPr>
        <w:t>Complete</w:t>
      </w:r>
      <w:r w:rsidR="00E911EB" w:rsidRPr="00740594">
        <w:rPr>
          <w:szCs w:val="24"/>
        </w:rPr>
        <w:t>d</w:t>
      </w:r>
      <w:r w:rsidR="005756E0" w:rsidRPr="00740594">
        <w:rPr>
          <w:szCs w:val="24"/>
        </w:rPr>
        <w:t xml:space="preserve"> assessment report</w:t>
      </w:r>
      <w:r w:rsidR="00C94A19" w:rsidRPr="00740594">
        <w:rPr>
          <w:szCs w:val="24"/>
        </w:rPr>
        <w:t xml:space="preserve"> – </w:t>
      </w:r>
      <w:r w:rsidR="00740594" w:rsidRPr="00740594">
        <w:rPr>
          <w:szCs w:val="24"/>
        </w:rPr>
        <w:t xml:space="preserve">review of </w:t>
      </w:r>
      <w:r w:rsidR="00C94A19" w:rsidRPr="00740594">
        <w:rPr>
          <w:szCs w:val="24"/>
        </w:rPr>
        <w:t xml:space="preserve">assessment plan </w:t>
      </w:r>
      <w:r w:rsidR="00740594" w:rsidRPr="00740594">
        <w:rPr>
          <w:szCs w:val="24"/>
        </w:rPr>
        <w:t>is recommended by not required</w:t>
      </w:r>
      <w:r w:rsidR="00727E07" w:rsidRPr="00740594">
        <w:rPr>
          <w:szCs w:val="24"/>
        </w:rPr>
        <w:t xml:space="preserve"> (September 30</w:t>
      </w:r>
      <w:r w:rsidR="00727E07" w:rsidRPr="00740594">
        <w:rPr>
          <w:szCs w:val="24"/>
          <w:vertAlign w:val="superscript"/>
        </w:rPr>
        <w:t>th</w:t>
      </w:r>
      <w:r w:rsidR="00727E07" w:rsidRPr="00740594">
        <w:rPr>
          <w:szCs w:val="24"/>
        </w:rPr>
        <w:t xml:space="preserve">) </w:t>
      </w:r>
    </w:p>
    <w:p w:rsidR="002E36A5" w:rsidRPr="00740594" w:rsidRDefault="002E36A5" w:rsidP="00165993">
      <w:pPr>
        <w:pStyle w:val="NoSpacing"/>
        <w:rPr>
          <w:b/>
          <w:szCs w:val="24"/>
          <w:u w:val="single"/>
        </w:rPr>
      </w:pPr>
    </w:p>
    <w:p w:rsidR="005756E0" w:rsidRPr="00740594" w:rsidRDefault="00740594" w:rsidP="00165993">
      <w:pPr>
        <w:pStyle w:val="NoSpacing"/>
        <w:rPr>
          <w:b/>
          <w:szCs w:val="24"/>
          <w:u w:val="single"/>
        </w:rPr>
      </w:pPr>
      <w:r w:rsidRPr="00740594">
        <w:rPr>
          <w:b/>
          <w:szCs w:val="24"/>
          <w:u w:val="single"/>
        </w:rPr>
        <w:t>Two-Y</w:t>
      </w:r>
      <w:r w:rsidR="004B08EA" w:rsidRPr="00740594">
        <w:rPr>
          <w:b/>
          <w:szCs w:val="24"/>
          <w:u w:val="single"/>
        </w:rPr>
        <w:t xml:space="preserve">ear </w:t>
      </w:r>
      <w:r w:rsidRPr="00740594">
        <w:rPr>
          <w:b/>
          <w:szCs w:val="24"/>
          <w:u w:val="single"/>
        </w:rPr>
        <w:t>R</w:t>
      </w:r>
      <w:r w:rsidR="005756E0" w:rsidRPr="00740594">
        <w:rPr>
          <w:b/>
          <w:szCs w:val="24"/>
          <w:u w:val="single"/>
        </w:rPr>
        <w:t xml:space="preserve">eporting </w:t>
      </w:r>
      <w:r w:rsidRPr="00740594">
        <w:rPr>
          <w:b/>
          <w:szCs w:val="24"/>
          <w:u w:val="single"/>
        </w:rPr>
        <w:t>C</w:t>
      </w:r>
      <w:r w:rsidR="00A31BA4" w:rsidRPr="00740594">
        <w:rPr>
          <w:b/>
          <w:szCs w:val="24"/>
          <w:u w:val="single"/>
        </w:rPr>
        <w:t>ycle</w:t>
      </w:r>
      <w:r w:rsidR="00B17487" w:rsidRPr="00740594">
        <w:rPr>
          <w:b/>
          <w:szCs w:val="24"/>
          <w:u w:val="single"/>
        </w:rPr>
        <w:t xml:space="preserve"> (every other year)</w:t>
      </w:r>
    </w:p>
    <w:p w:rsidR="00CB5DD9" w:rsidRPr="00740594" w:rsidRDefault="00CB5DD9" w:rsidP="00165993">
      <w:pPr>
        <w:pStyle w:val="ListParagraph"/>
        <w:numPr>
          <w:ilvl w:val="0"/>
          <w:numId w:val="12"/>
        </w:numPr>
        <w:spacing w:after="0" w:line="240" w:lineRule="auto"/>
        <w:rPr>
          <w:szCs w:val="24"/>
        </w:rPr>
      </w:pPr>
      <w:r w:rsidRPr="00740594">
        <w:rPr>
          <w:szCs w:val="24"/>
        </w:rPr>
        <w:t>Programs</w:t>
      </w:r>
      <w:r w:rsidR="00E911EB" w:rsidRPr="00740594">
        <w:rPr>
          <w:szCs w:val="24"/>
        </w:rPr>
        <w:t xml:space="preserve"> must initiate </w:t>
      </w:r>
      <w:r w:rsidRPr="00740594">
        <w:rPr>
          <w:szCs w:val="24"/>
        </w:rPr>
        <w:t xml:space="preserve">the two-year reporting cycle </w:t>
      </w:r>
      <w:r w:rsidR="00727E07" w:rsidRPr="00740594">
        <w:rPr>
          <w:szCs w:val="24"/>
        </w:rPr>
        <w:t>using their annual</w:t>
      </w:r>
      <w:r w:rsidRPr="00740594">
        <w:rPr>
          <w:szCs w:val="24"/>
        </w:rPr>
        <w:t xml:space="preserve"> report.</w:t>
      </w:r>
      <w:r w:rsidR="00042E79">
        <w:rPr>
          <w:szCs w:val="24"/>
        </w:rPr>
        <w:t xml:space="preserve"> Requests must be received by Sept. 30, at the time of the submission of their annual assessment report.</w:t>
      </w:r>
    </w:p>
    <w:p w:rsidR="001E36BA" w:rsidRPr="00740594" w:rsidRDefault="004B08EA" w:rsidP="00165993">
      <w:pPr>
        <w:pStyle w:val="ListParagraph"/>
        <w:numPr>
          <w:ilvl w:val="0"/>
          <w:numId w:val="12"/>
        </w:numPr>
        <w:spacing w:after="0" w:line="240" w:lineRule="auto"/>
        <w:rPr>
          <w:szCs w:val="24"/>
        </w:rPr>
      </w:pPr>
      <w:r w:rsidRPr="00740594">
        <w:rPr>
          <w:szCs w:val="24"/>
        </w:rPr>
        <w:t xml:space="preserve">Programs </w:t>
      </w:r>
      <w:r w:rsidR="006B3792" w:rsidRPr="00740594">
        <w:rPr>
          <w:szCs w:val="24"/>
        </w:rPr>
        <w:t>that request</w:t>
      </w:r>
      <w:r w:rsidR="00727E07" w:rsidRPr="00740594">
        <w:rPr>
          <w:szCs w:val="24"/>
        </w:rPr>
        <w:t xml:space="preserve"> to </w:t>
      </w:r>
      <w:r w:rsidR="006B3792" w:rsidRPr="00740594">
        <w:rPr>
          <w:szCs w:val="24"/>
        </w:rPr>
        <w:t>be on the two-year cycle and have not had any request</w:t>
      </w:r>
      <w:r w:rsidR="003A1CE1" w:rsidRPr="00740594">
        <w:rPr>
          <w:szCs w:val="24"/>
        </w:rPr>
        <w:t>s</w:t>
      </w:r>
      <w:r w:rsidR="006B3792" w:rsidRPr="00740594">
        <w:rPr>
          <w:szCs w:val="24"/>
        </w:rPr>
        <w:t xml:space="preserve"> for re-submissions </w:t>
      </w:r>
      <w:r w:rsidR="00740594" w:rsidRPr="00740594">
        <w:rPr>
          <w:szCs w:val="24"/>
        </w:rPr>
        <w:t xml:space="preserve">of their annual assessment reports </w:t>
      </w:r>
      <w:r w:rsidR="006B3792" w:rsidRPr="00740594">
        <w:rPr>
          <w:szCs w:val="24"/>
        </w:rPr>
        <w:t xml:space="preserve">over the last two years will be </w:t>
      </w:r>
      <w:r w:rsidR="003A1CE1" w:rsidRPr="00740594">
        <w:rPr>
          <w:szCs w:val="24"/>
        </w:rPr>
        <w:t>allowed to report biennially</w:t>
      </w:r>
      <w:r w:rsidR="006B3792" w:rsidRPr="00740594">
        <w:rPr>
          <w:szCs w:val="24"/>
        </w:rPr>
        <w:t xml:space="preserve">. </w:t>
      </w:r>
    </w:p>
    <w:p w:rsidR="00DF4C99" w:rsidRPr="00740594" w:rsidRDefault="00A31BA4" w:rsidP="00165993">
      <w:pPr>
        <w:pStyle w:val="ListParagraph"/>
        <w:numPr>
          <w:ilvl w:val="0"/>
          <w:numId w:val="12"/>
        </w:numPr>
        <w:spacing w:after="0" w:line="240" w:lineRule="auto"/>
        <w:rPr>
          <w:szCs w:val="24"/>
        </w:rPr>
      </w:pPr>
      <w:r w:rsidRPr="00740594">
        <w:rPr>
          <w:szCs w:val="24"/>
        </w:rPr>
        <w:t>Prog</w:t>
      </w:r>
      <w:r w:rsidR="00EC47CE" w:rsidRPr="00740594">
        <w:rPr>
          <w:szCs w:val="24"/>
        </w:rPr>
        <w:t>rams that request to be on the two-</w:t>
      </w:r>
      <w:r w:rsidRPr="00740594">
        <w:rPr>
          <w:szCs w:val="24"/>
        </w:rPr>
        <w:t>year cycle and have received</w:t>
      </w:r>
      <w:r w:rsidR="002A19D6" w:rsidRPr="00740594">
        <w:rPr>
          <w:szCs w:val="24"/>
        </w:rPr>
        <w:t xml:space="preserve"> a request for re-submission over the last two years may be </w:t>
      </w:r>
      <w:r w:rsidR="00EC47CE" w:rsidRPr="00740594">
        <w:rPr>
          <w:szCs w:val="24"/>
        </w:rPr>
        <w:t>placed on the two</w:t>
      </w:r>
      <w:r w:rsidRPr="00740594">
        <w:rPr>
          <w:szCs w:val="24"/>
        </w:rPr>
        <w:t>-year cycle at the committee’s discretion.</w:t>
      </w:r>
    </w:p>
    <w:p w:rsidR="00CB2A50" w:rsidRPr="00CB2A50" w:rsidRDefault="006B3792" w:rsidP="00165993">
      <w:pPr>
        <w:pStyle w:val="ListParagraph"/>
        <w:numPr>
          <w:ilvl w:val="0"/>
          <w:numId w:val="12"/>
        </w:numPr>
        <w:spacing w:after="0" w:line="240" w:lineRule="auto"/>
        <w:rPr>
          <w:b/>
          <w:szCs w:val="24"/>
        </w:rPr>
      </w:pPr>
      <w:r w:rsidRPr="00740594">
        <w:rPr>
          <w:szCs w:val="24"/>
        </w:rPr>
        <w:t>A minimum of</w:t>
      </w:r>
      <w:r w:rsidR="00165993">
        <w:rPr>
          <w:szCs w:val="24"/>
        </w:rPr>
        <w:t xml:space="preserve"> two</w:t>
      </w:r>
      <w:r w:rsidRPr="00740594">
        <w:rPr>
          <w:szCs w:val="24"/>
        </w:rPr>
        <w:t xml:space="preserve"> outcomes will </w:t>
      </w:r>
      <w:r w:rsidR="00EB47D2" w:rsidRPr="00740594">
        <w:rPr>
          <w:szCs w:val="24"/>
        </w:rPr>
        <w:t xml:space="preserve">be assessed in the report, but all learning outcomes must be assessed over </w:t>
      </w:r>
      <w:r w:rsidR="00740594" w:rsidRPr="00740594">
        <w:rPr>
          <w:szCs w:val="24"/>
        </w:rPr>
        <w:t xml:space="preserve">one program review cycle to provide data for program reviews and comply with external standards </w:t>
      </w:r>
      <w:r w:rsidR="00EB47D2" w:rsidRPr="00740594">
        <w:rPr>
          <w:szCs w:val="24"/>
        </w:rPr>
        <w:t xml:space="preserve">(i.e., </w:t>
      </w:r>
      <w:r w:rsidR="00740594" w:rsidRPr="00740594">
        <w:rPr>
          <w:szCs w:val="24"/>
        </w:rPr>
        <w:t>every five-six years -- m</w:t>
      </w:r>
      <w:r w:rsidRPr="00740594">
        <w:rPr>
          <w:szCs w:val="24"/>
        </w:rPr>
        <w:t xml:space="preserve">ore </w:t>
      </w:r>
      <w:r w:rsidR="00740594" w:rsidRPr="00740594">
        <w:rPr>
          <w:szCs w:val="24"/>
        </w:rPr>
        <w:t xml:space="preserve">than </w:t>
      </w:r>
      <w:r w:rsidR="00165993">
        <w:rPr>
          <w:szCs w:val="24"/>
        </w:rPr>
        <w:t>two</w:t>
      </w:r>
      <w:r w:rsidR="00740594" w:rsidRPr="00740594">
        <w:rPr>
          <w:szCs w:val="24"/>
        </w:rPr>
        <w:t xml:space="preserve"> outcomes </w:t>
      </w:r>
      <w:r w:rsidR="00EB47D2" w:rsidRPr="00740594">
        <w:rPr>
          <w:szCs w:val="24"/>
        </w:rPr>
        <w:t xml:space="preserve">may </w:t>
      </w:r>
      <w:r w:rsidRPr="00740594">
        <w:rPr>
          <w:szCs w:val="24"/>
        </w:rPr>
        <w:t xml:space="preserve">need to </w:t>
      </w:r>
      <w:r w:rsidR="00EB47D2" w:rsidRPr="00740594">
        <w:rPr>
          <w:szCs w:val="24"/>
        </w:rPr>
        <w:t xml:space="preserve">be </w:t>
      </w:r>
      <w:r w:rsidRPr="00740594">
        <w:rPr>
          <w:szCs w:val="24"/>
        </w:rPr>
        <w:t>assess</w:t>
      </w:r>
      <w:r w:rsidR="00EB47D2" w:rsidRPr="00740594">
        <w:rPr>
          <w:szCs w:val="24"/>
        </w:rPr>
        <w:t>ed</w:t>
      </w:r>
      <w:r w:rsidRPr="00740594">
        <w:rPr>
          <w:szCs w:val="24"/>
        </w:rPr>
        <w:t xml:space="preserve"> </w:t>
      </w:r>
      <w:r w:rsidR="00EB47D2" w:rsidRPr="00740594">
        <w:rPr>
          <w:szCs w:val="24"/>
        </w:rPr>
        <w:t>in a biennial report)</w:t>
      </w:r>
      <w:r w:rsidR="00740594" w:rsidRPr="00740594">
        <w:rPr>
          <w:szCs w:val="24"/>
        </w:rPr>
        <w:t>.</w:t>
      </w:r>
      <w:r w:rsidR="009E6AF5" w:rsidRPr="00740594">
        <w:rPr>
          <w:szCs w:val="24"/>
        </w:rPr>
        <w:t xml:space="preserve"> </w:t>
      </w:r>
    </w:p>
    <w:p w:rsidR="00CB2A50" w:rsidRPr="00CB2A50" w:rsidRDefault="00CB2A50" w:rsidP="00165993">
      <w:pPr>
        <w:pStyle w:val="ListParagraph"/>
        <w:spacing w:after="0" w:line="240" w:lineRule="auto"/>
        <w:ind w:left="360"/>
        <w:rPr>
          <w:b/>
          <w:szCs w:val="24"/>
        </w:rPr>
      </w:pPr>
    </w:p>
    <w:p w:rsidR="00DF4C99" w:rsidRPr="00CB2A50" w:rsidRDefault="00DF4C99" w:rsidP="00165993">
      <w:pPr>
        <w:spacing w:after="0" w:line="240" w:lineRule="auto"/>
        <w:ind w:left="720"/>
        <w:rPr>
          <w:b/>
          <w:szCs w:val="24"/>
        </w:rPr>
      </w:pPr>
      <w:r w:rsidRPr="00CB2A50">
        <w:rPr>
          <w:b/>
          <w:szCs w:val="24"/>
        </w:rPr>
        <w:t xml:space="preserve">Documents submitted in a two year reporting cycle:   </w:t>
      </w:r>
    </w:p>
    <w:p w:rsidR="00740594" w:rsidRPr="00740594" w:rsidRDefault="00740594" w:rsidP="00165993">
      <w:pPr>
        <w:pStyle w:val="NoSpacing"/>
        <w:numPr>
          <w:ilvl w:val="1"/>
          <w:numId w:val="12"/>
        </w:numPr>
        <w:rPr>
          <w:szCs w:val="24"/>
        </w:rPr>
      </w:pPr>
      <w:r w:rsidRPr="00740594">
        <w:rPr>
          <w:szCs w:val="24"/>
        </w:rPr>
        <w:t>Year 0 (year submitting request) – Assessment plan for the following five-six year cycle, with outcomes, measures, targets, and timelines for assessment</w:t>
      </w:r>
    </w:p>
    <w:p w:rsidR="00DF4C99" w:rsidRPr="00740594" w:rsidRDefault="00DF4C99" w:rsidP="00165993">
      <w:pPr>
        <w:pStyle w:val="NoSpacing"/>
        <w:numPr>
          <w:ilvl w:val="1"/>
          <w:numId w:val="12"/>
        </w:numPr>
        <w:rPr>
          <w:szCs w:val="24"/>
        </w:rPr>
      </w:pPr>
      <w:r w:rsidRPr="00740594">
        <w:rPr>
          <w:szCs w:val="24"/>
        </w:rPr>
        <w:t xml:space="preserve">Year 2 – Complete assessment report </w:t>
      </w:r>
      <w:r w:rsidR="003A1CE1" w:rsidRPr="00740594">
        <w:rPr>
          <w:szCs w:val="24"/>
        </w:rPr>
        <w:t>(September 30</w:t>
      </w:r>
      <w:r w:rsidR="003A1CE1" w:rsidRPr="00740594">
        <w:rPr>
          <w:szCs w:val="24"/>
          <w:vertAlign w:val="superscript"/>
        </w:rPr>
        <w:t>th</w:t>
      </w:r>
      <w:r w:rsidR="003A1CE1" w:rsidRPr="00740594">
        <w:rPr>
          <w:szCs w:val="24"/>
        </w:rPr>
        <w:t>)</w:t>
      </w:r>
    </w:p>
    <w:p w:rsidR="00740594" w:rsidRPr="00740594" w:rsidRDefault="00740594" w:rsidP="00165993">
      <w:pPr>
        <w:pStyle w:val="NoSpacing"/>
        <w:rPr>
          <w:b/>
          <w:szCs w:val="24"/>
          <w:u w:val="single"/>
        </w:rPr>
      </w:pPr>
    </w:p>
    <w:p w:rsidR="00DF4C99" w:rsidRPr="00740594" w:rsidRDefault="00740594" w:rsidP="00165993">
      <w:pPr>
        <w:pStyle w:val="NoSpacing"/>
        <w:rPr>
          <w:b/>
          <w:szCs w:val="24"/>
          <w:u w:val="single"/>
        </w:rPr>
      </w:pPr>
      <w:r w:rsidRPr="00740594">
        <w:rPr>
          <w:b/>
          <w:szCs w:val="24"/>
          <w:u w:val="single"/>
        </w:rPr>
        <w:t>Reasons for Discontinuation of an A</w:t>
      </w:r>
      <w:r w:rsidR="00DF4C99" w:rsidRPr="00740594">
        <w:rPr>
          <w:b/>
          <w:szCs w:val="24"/>
          <w:u w:val="single"/>
        </w:rPr>
        <w:t xml:space="preserve">pproved </w:t>
      </w:r>
      <w:r w:rsidRPr="00740594">
        <w:rPr>
          <w:b/>
          <w:szCs w:val="24"/>
          <w:u w:val="single"/>
        </w:rPr>
        <w:t>Two-Year Reporting C</w:t>
      </w:r>
      <w:r w:rsidR="00DF4C99" w:rsidRPr="00740594">
        <w:rPr>
          <w:b/>
          <w:szCs w:val="24"/>
          <w:u w:val="single"/>
        </w:rPr>
        <w:t>ycle</w:t>
      </w:r>
    </w:p>
    <w:p w:rsidR="003A1CE1" w:rsidRPr="00740594" w:rsidRDefault="00EB47D2" w:rsidP="00165993">
      <w:pPr>
        <w:pStyle w:val="ListParagraph"/>
        <w:numPr>
          <w:ilvl w:val="0"/>
          <w:numId w:val="13"/>
        </w:numPr>
        <w:spacing w:after="0" w:line="240" w:lineRule="auto"/>
        <w:rPr>
          <w:szCs w:val="24"/>
        </w:rPr>
      </w:pPr>
      <w:r w:rsidRPr="00740594">
        <w:rPr>
          <w:szCs w:val="24"/>
        </w:rPr>
        <w:t>A</w:t>
      </w:r>
      <w:r w:rsidR="003A1CE1" w:rsidRPr="00740594">
        <w:rPr>
          <w:szCs w:val="24"/>
        </w:rPr>
        <w:t xml:space="preserve"> program can remove itself from the two-year reporting cycle at any time.</w:t>
      </w:r>
    </w:p>
    <w:p w:rsidR="00740594" w:rsidRPr="00740594" w:rsidRDefault="00A31BA4" w:rsidP="00165993">
      <w:pPr>
        <w:pStyle w:val="ListParagraph"/>
        <w:numPr>
          <w:ilvl w:val="0"/>
          <w:numId w:val="13"/>
        </w:numPr>
        <w:spacing w:after="0" w:line="240" w:lineRule="auto"/>
        <w:rPr>
          <w:szCs w:val="24"/>
        </w:rPr>
      </w:pPr>
      <w:r w:rsidRPr="00740594">
        <w:rPr>
          <w:szCs w:val="24"/>
        </w:rPr>
        <w:t xml:space="preserve">If a report </w:t>
      </w:r>
      <w:r w:rsidR="004B08EA" w:rsidRPr="00740594">
        <w:rPr>
          <w:szCs w:val="24"/>
        </w:rPr>
        <w:t>on a two-year report cycle is not accepted by the</w:t>
      </w:r>
      <w:r w:rsidR="00B17487" w:rsidRPr="00740594">
        <w:rPr>
          <w:szCs w:val="24"/>
        </w:rPr>
        <w:t xml:space="preserve"> </w:t>
      </w:r>
      <w:r w:rsidR="00DC5E51" w:rsidRPr="00740594">
        <w:rPr>
          <w:szCs w:val="24"/>
        </w:rPr>
        <w:t>UAC</w:t>
      </w:r>
      <w:r w:rsidR="004B08EA" w:rsidRPr="00740594">
        <w:rPr>
          <w:szCs w:val="24"/>
        </w:rPr>
        <w:t xml:space="preserve">, </w:t>
      </w:r>
      <w:r w:rsidR="00DF4C99" w:rsidRPr="00740594">
        <w:rPr>
          <w:szCs w:val="24"/>
        </w:rPr>
        <w:t xml:space="preserve">the program </w:t>
      </w:r>
      <w:r w:rsidR="003A1CE1" w:rsidRPr="00740594">
        <w:rPr>
          <w:szCs w:val="24"/>
        </w:rPr>
        <w:t>may</w:t>
      </w:r>
      <w:r w:rsidR="00C94A19" w:rsidRPr="00740594">
        <w:rPr>
          <w:szCs w:val="24"/>
        </w:rPr>
        <w:t xml:space="preserve"> be asked to </w:t>
      </w:r>
      <w:r w:rsidR="00131544" w:rsidRPr="00740594">
        <w:rPr>
          <w:szCs w:val="24"/>
        </w:rPr>
        <w:t>return to the annual cycle</w:t>
      </w:r>
      <w:r w:rsidR="00C94A19" w:rsidRPr="00740594">
        <w:rPr>
          <w:szCs w:val="24"/>
        </w:rPr>
        <w:t xml:space="preserve"> at the committee’s discretion</w:t>
      </w:r>
      <w:r w:rsidR="00131544" w:rsidRPr="00740594">
        <w:rPr>
          <w:szCs w:val="24"/>
        </w:rPr>
        <w:t xml:space="preserve">.  </w:t>
      </w:r>
    </w:p>
    <w:p w:rsidR="00CB2A50" w:rsidRDefault="00CB2A50" w:rsidP="00165993">
      <w:pPr>
        <w:spacing w:after="0" w:line="240" w:lineRule="auto"/>
        <w:rPr>
          <w:b/>
          <w:szCs w:val="24"/>
          <w:u w:val="single"/>
        </w:rPr>
      </w:pPr>
    </w:p>
    <w:p w:rsidR="004B08EA" w:rsidRPr="00740594" w:rsidRDefault="009E6AF5" w:rsidP="00165993">
      <w:pPr>
        <w:spacing w:after="0" w:line="240" w:lineRule="auto"/>
        <w:rPr>
          <w:b/>
          <w:szCs w:val="24"/>
          <w:u w:val="single"/>
        </w:rPr>
      </w:pPr>
      <w:r w:rsidRPr="00740594">
        <w:rPr>
          <w:b/>
          <w:szCs w:val="24"/>
          <w:u w:val="single"/>
        </w:rPr>
        <w:t>Timeline for Implementation</w:t>
      </w:r>
    </w:p>
    <w:p w:rsidR="009E6AF5" w:rsidRDefault="00740594" w:rsidP="00165993">
      <w:pPr>
        <w:spacing w:after="0" w:line="240" w:lineRule="auto"/>
        <w:rPr>
          <w:szCs w:val="24"/>
        </w:rPr>
      </w:pPr>
      <w:r w:rsidRPr="00740594">
        <w:rPr>
          <w:szCs w:val="24"/>
        </w:rPr>
        <w:t>The two-</w:t>
      </w:r>
      <w:r w:rsidR="009E6AF5" w:rsidRPr="00740594">
        <w:rPr>
          <w:szCs w:val="24"/>
        </w:rPr>
        <w:t xml:space="preserve">year option </w:t>
      </w:r>
      <w:r w:rsidRPr="00740594">
        <w:rPr>
          <w:szCs w:val="24"/>
        </w:rPr>
        <w:t xml:space="preserve">became </w:t>
      </w:r>
      <w:r w:rsidR="00154175" w:rsidRPr="00740594">
        <w:rPr>
          <w:szCs w:val="24"/>
        </w:rPr>
        <w:t xml:space="preserve">available </w:t>
      </w:r>
      <w:r w:rsidRPr="00740594">
        <w:rPr>
          <w:szCs w:val="24"/>
        </w:rPr>
        <w:t xml:space="preserve">in </w:t>
      </w:r>
      <w:proofErr w:type="gramStart"/>
      <w:r w:rsidRPr="00740594">
        <w:rPr>
          <w:szCs w:val="24"/>
        </w:rPr>
        <w:t>Fall</w:t>
      </w:r>
      <w:proofErr w:type="gramEnd"/>
      <w:r w:rsidRPr="00740594">
        <w:rPr>
          <w:szCs w:val="24"/>
        </w:rPr>
        <w:t xml:space="preserve"> of the</w:t>
      </w:r>
      <w:r w:rsidR="00154175" w:rsidRPr="00740594">
        <w:rPr>
          <w:szCs w:val="24"/>
        </w:rPr>
        <w:t xml:space="preserve"> 2014-15</w:t>
      </w:r>
      <w:r w:rsidR="009E6AF5" w:rsidRPr="00740594">
        <w:rPr>
          <w:szCs w:val="24"/>
        </w:rPr>
        <w:t xml:space="preserve"> academic year.  </w:t>
      </w:r>
      <w:r w:rsidR="007168CB" w:rsidRPr="00740594">
        <w:rPr>
          <w:szCs w:val="24"/>
        </w:rPr>
        <w:t xml:space="preserve">The option will be </w:t>
      </w:r>
      <w:r w:rsidR="008527D9" w:rsidRPr="00740594">
        <w:rPr>
          <w:szCs w:val="24"/>
        </w:rPr>
        <w:t>implemented</w:t>
      </w:r>
      <w:r w:rsidR="007168CB" w:rsidRPr="00740594">
        <w:rPr>
          <w:szCs w:val="24"/>
        </w:rPr>
        <w:t xml:space="preserve"> contingent upon Marymount’s </w:t>
      </w:r>
      <w:r w:rsidR="002E36A5" w:rsidRPr="00740594">
        <w:rPr>
          <w:szCs w:val="24"/>
        </w:rPr>
        <w:t xml:space="preserve">full </w:t>
      </w:r>
      <w:r w:rsidR="007168CB" w:rsidRPr="00740594">
        <w:rPr>
          <w:szCs w:val="24"/>
        </w:rPr>
        <w:t xml:space="preserve">compliance with SACS standard 3.3.1.1 (educational programs including learning outcomes).   </w:t>
      </w:r>
    </w:p>
    <w:p w:rsidR="00CB2A50" w:rsidRDefault="00CB2A50" w:rsidP="00165993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CB2A50" w:rsidRDefault="00CB2A50" w:rsidP="00165993">
      <w:pPr>
        <w:spacing w:after="0" w:line="240" w:lineRule="auto"/>
        <w:jc w:val="center"/>
      </w:pPr>
      <w:r>
        <w:lastRenderedPageBreak/>
        <w:t>Request for Biennial Assessment Reporting</w:t>
      </w:r>
    </w:p>
    <w:p w:rsidR="00CB2A50" w:rsidRDefault="00CB2A50" w:rsidP="00165993">
      <w:pPr>
        <w:spacing w:after="0" w:line="240" w:lineRule="auto"/>
        <w:jc w:val="center"/>
      </w:pPr>
      <w:r>
        <w:t>University Assessment Committee</w:t>
      </w:r>
    </w:p>
    <w:p w:rsidR="00CB2A50" w:rsidRDefault="00CB2A50" w:rsidP="00165993">
      <w:pPr>
        <w:spacing w:after="0" w:line="240" w:lineRule="auto"/>
        <w:jc w:val="center"/>
      </w:pPr>
    </w:p>
    <w:p w:rsidR="00CB2A50" w:rsidRDefault="00CB2A50" w:rsidP="00165993">
      <w:pPr>
        <w:spacing w:after="0" w:line="240" w:lineRule="auto"/>
      </w:pPr>
      <w:r>
        <w:t xml:space="preserve">Starting in 2014-15, academic programs may request to report assessment results on a biennial basis.  </w:t>
      </w:r>
    </w:p>
    <w:p w:rsidR="00CB2A50" w:rsidRDefault="00CB2A50" w:rsidP="00165993">
      <w:pPr>
        <w:pStyle w:val="ListParagraph"/>
        <w:numPr>
          <w:ilvl w:val="0"/>
          <w:numId w:val="19"/>
        </w:numPr>
        <w:spacing w:after="0" w:line="240" w:lineRule="auto"/>
      </w:pPr>
      <w:r>
        <w:t>Biennial reporting is completely optional and only instituted at the program’s request.</w:t>
      </w:r>
    </w:p>
    <w:p w:rsidR="00CB2A50" w:rsidRDefault="00CB2A50" w:rsidP="00165993">
      <w:pPr>
        <w:pStyle w:val="ListParagraph"/>
        <w:numPr>
          <w:ilvl w:val="0"/>
          <w:numId w:val="19"/>
        </w:numPr>
        <w:spacing w:after="0" w:line="240" w:lineRule="auto"/>
      </w:pPr>
      <w:r>
        <w:t>Only degree programs with “Report Accepted as Submitted” reviews from the University Assessment Committee for its last two student learning outcomes reports are eligible.</w:t>
      </w:r>
    </w:p>
    <w:p w:rsidR="00CB2A50" w:rsidRDefault="00CB2A50" w:rsidP="00165993">
      <w:pPr>
        <w:pStyle w:val="ListParagraph"/>
        <w:numPr>
          <w:ilvl w:val="0"/>
          <w:numId w:val="19"/>
        </w:numPr>
        <w:spacing w:after="0" w:line="240" w:lineRule="auto"/>
      </w:pPr>
      <w:r>
        <w:t>Certificate programs are eligible after the two-year “Report Accepted as Submitted” is complete.</w:t>
      </w:r>
    </w:p>
    <w:p w:rsidR="00CB2A50" w:rsidRDefault="00CB2A50" w:rsidP="00165993">
      <w:pPr>
        <w:pStyle w:val="ListParagraph"/>
        <w:numPr>
          <w:ilvl w:val="0"/>
          <w:numId w:val="19"/>
        </w:numPr>
        <w:spacing w:after="0" w:line="240" w:lineRule="auto"/>
      </w:pPr>
      <w:r>
        <w:t>The University Assessment Committee may return a program to annual reporting at the start of any reporting period (</w:t>
      </w:r>
      <w:proofErr w:type="gramStart"/>
      <w:r>
        <w:t>Fall</w:t>
      </w:r>
      <w:proofErr w:type="gramEnd"/>
      <w:r>
        <w:t xml:space="preserve"> of the Reporting Year) if an unsatisfactory report is submitted.</w:t>
      </w:r>
    </w:p>
    <w:p w:rsidR="00CB2A50" w:rsidRDefault="00CB2A50" w:rsidP="00165993">
      <w:pPr>
        <w:pStyle w:val="ListParagraph"/>
        <w:numPr>
          <w:ilvl w:val="0"/>
          <w:numId w:val="19"/>
        </w:numPr>
        <w:spacing w:after="0" w:line="240" w:lineRule="auto"/>
      </w:pPr>
      <w:r>
        <w:t>Programs are required to assess all learning outcomes with in a five-six year cycle with their program review.</w:t>
      </w:r>
    </w:p>
    <w:p w:rsidR="00CB2A50" w:rsidRDefault="00CB2A50" w:rsidP="00165993">
      <w:pPr>
        <w:pStyle w:val="ListParagraph"/>
        <w:numPr>
          <w:ilvl w:val="0"/>
          <w:numId w:val="19"/>
        </w:numPr>
        <w:spacing w:after="0" w:line="240" w:lineRule="auto"/>
      </w:pPr>
      <w:r>
        <w:t>Program review years are considered as an off-year in determining the final cycle and should serve as the anchor of the timeline.</w:t>
      </w:r>
    </w:p>
    <w:p w:rsidR="00CB2A50" w:rsidRDefault="00CB2A50" w:rsidP="00165993">
      <w:pPr>
        <w:spacing w:after="0" w:line="240" w:lineRule="auto"/>
        <w:ind w:left="360"/>
      </w:pPr>
    </w:p>
    <w:p w:rsidR="00CB2A50" w:rsidRDefault="00CB2A50" w:rsidP="00165993">
      <w:pPr>
        <w:spacing w:after="0" w:line="240" w:lineRule="auto"/>
      </w:pPr>
    </w:p>
    <w:p w:rsidR="00CB2A50" w:rsidRPr="00CB2A50" w:rsidRDefault="00CB2A50" w:rsidP="00165993">
      <w:pPr>
        <w:spacing w:after="0" w:line="240" w:lineRule="auto"/>
        <w:rPr>
          <w:b/>
        </w:rPr>
      </w:pPr>
      <w:r w:rsidRPr="005D2E1D">
        <w:rPr>
          <w:b/>
        </w:rPr>
        <w:t>Program</w:t>
      </w:r>
      <w:r>
        <w:rPr>
          <w:b/>
        </w:rPr>
        <w:t xml:space="preserve"> Name: </w:t>
      </w:r>
    </w:p>
    <w:p w:rsidR="00CB2A50" w:rsidRDefault="00CB2A50" w:rsidP="00165993">
      <w:pPr>
        <w:spacing w:after="0" w:line="240" w:lineRule="auto"/>
        <w:jc w:val="center"/>
        <w:rPr>
          <w:b/>
        </w:rPr>
      </w:pPr>
      <w:r w:rsidRPr="00EB1837">
        <w:rPr>
          <w:b/>
        </w:rPr>
        <w:t>Proposed Assessment Schedule</w:t>
      </w:r>
    </w:p>
    <w:p w:rsidR="00CB2A50" w:rsidRPr="005D2E1D" w:rsidRDefault="00CB2A50" w:rsidP="00165993">
      <w:pPr>
        <w:spacing w:after="0" w:line="240" w:lineRule="auto"/>
        <w:jc w:val="center"/>
      </w:pPr>
    </w:p>
    <w:p w:rsidR="00CB2A50" w:rsidRPr="005D2E1D" w:rsidRDefault="00CB2A50" w:rsidP="00165993">
      <w:pPr>
        <w:pStyle w:val="ListParagraph"/>
        <w:numPr>
          <w:ilvl w:val="0"/>
          <w:numId w:val="18"/>
        </w:numPr>
        <w:spacing w:after="0" w:line="240" w:lineRule="auto"/>
      </w:pPr>
      <w:r w:rsidRPr="005D2E1D">
        <w:t>List all program learning outcomes</w:t>
      </w:r>
      <w:r>
        <w:t>, the ways in which the program intends to assess those outcomes, and the performance benchmarks.</w:t>
      </w:r>
    </w:p>
    <w:p w:rsidR="00CB2A50" w:rsidRPr="005D2E1D" w:rsidRDefault="00CB2A50" w:rsidP="00165993">
      <w:pPr>
        <w:pStyle w:val="ListParagraph"/>
        <w:numPr>
          <w:ilvl w:val="0"/>
          <w:numId w:val="18"/>
        </w:numPr>
        <w:spacing w:after="0" w:line="240" w:lineRule="auto"/>
      </w:pPr>
      <w:r w:rsidRPr="005D2E1D">
        <w:t>Indicate the year of program review with “PR” in the appropriate year for each outcome</w:t>
      </w:r>
      <w:r>
        <w:t>. If you are uncertain which year is the program review year, please contact Planning and Institutional Effectiveness.</w:t>
      </w:r>
    </w:p>
    <w:p w:rsidR="00CB2A50" w:rsidRPr="005D2E1D" w:rsidRDefault="00CB2A50" w:rsidP="00165993">
      <w:pPr>
        <w:pStyle w:val="ListParagraph"/>
        <w:numPr>
          <w:ilvl w:val="0"/>
          <w:numId w:val="18"/>
        </w:numPr>
        <w:spacing w:after="0" w:line="240" w:lineRule="auto"/>
      </w:pPr>
      <w:r w:rsidRPr="005D2E1D">
        <w:t xml:space="preserve">Indicate with an “X” the years during which the program proposes to assess each outcome.  </w:t>
      </w:r>
      <w:r w:rsidRPr="005D2E1D">
        <w:rPr>
          <w:i/>
        </w:rPr>
        <w:t xml:space="preserve">Note:  Programs may need to assess more than </w:t>
      </w:r>
      <w:r w:rsidR="00165993">
        <w:rPr>
          <w:i/>
        </w:rPr>
        <w:t>two</w:t>
      </w:r>
      <w:r w:rsidRPr="005D2E1D">
        <w:rPr>
          <w:i/>
        </w:rPr>
        <w:t xml:space="preserve"> outcomes in a given year when using the two-year reporting system.</w:t>
      </w:r>
    </w:p>
    <w:p w:rsidR="00CB2A50" w:rsidRPr="00EB1837" w:rsidRDefault="00CB2A50" w:rsidP="00165993">
      <w:pPr>
        <w:pStyle w:val="ListParagraph"/>
        <w:spacing w:after="0" w:line="240" w:lineRule="auto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3"/>
        <w:gridCol w:w="1872"/>
        <w:gridCol w:w="1285"/>
        <w:gridCol w:w="850"/>
        <w:gridCol w:w="850"/>
        <w:gridCol w:w="850"/>
        <w:gridCol w:w="850"/>
        <w:gridCol w:w="850"/>
        <w:gridCol w:w="850"/>
      </w:tblGrid>
      <w:tr w:rsidR="00CB2A50" w:rsidRPr="005D2E1D" w:rsidTr="00234244">
        <w:tc>
          <w:tcPr>
            <w:tcW w:w="2533" w:type="dxa"/>
            <w:vMerge w:val="restart"/>
            <w:shd w:val="clear" w:color="auto" w:fill="EEECE1" w:themeFill="background2"/>
            <w:vAlign w:val="center"/>
          </w:tcPr>
          <w:p w:rsidR="00CB2A50" w:rsidRPr="00234244" w:rsidRDefault="00CB2A50" w:rsidP="00165993">
            <w:pPr>
              <w:jc w:val="center"/>
              <w:rPr>
                <w:b/>
                <w:sz w:val="18"/>
                <w:szCs w:val="18"/>
              </w:rPr>
            </w:pPr>
            <w:r w:rsidRPr="00234244">
              <w:rPr>
                <w:b/>
                <w:sz w:val="18"/>
                <w:szCs w:val="18"/>
              </w:rPr>
              <w:t>Outcomes</w:t>
            </w:r>
          </w:p>
        </w:tc>
        <w:tc>
          <w:tcPr>
            <w:tcW w:w="1872" w:type="dxa"/>
            <w:vMerge w:val="restart"/>
            <w:shd w:val="clear" w:color="auto" w:fill="EEECE1" w:themeFill="background2"/>
            <w:vAlign w:val="center"/>
          </w:tcPr>
          <w:p w:rsidR="00CB2A50" w:rsidRPr="00234244" w:rsidRDefault="00CB2A50" w:rsidP="00165993">
            <w:pPr>
              <w:jc w:val="center"/>
              <w:rPr>
                <w:b/>
                <w:sz w:val="18"/>
                <w:szCs w:val="18"/>
              </w:rPr>
            </w:pPr>
            <w:r w:rsidRPr="00234244">
              <w:rPr>
                <w:b/>
                <w:sz w:val="18"/>
                <w:szCs w:val="18"/>
              </w:rPr>
              <w:t>Method of Assessment</w:t>
            </w:r>
          </w:p>
        </w:tc>
        <w:tc>
          <w:tcPr>
            <w:tcW w:w="1285" w:type="dxa"/>
            <w:vMerge w:val="restart"/>
            <w:shd w:val="clear" w:color="auto" w:fill="EEECE1" w:themeFill="background2"/>
            <w:vAlign w:val="center"/>
          </w:tcPr>
          <w:p w:rsidR="00CB2A50" w:rsidRPr="00234244" w:rsidRDefault="00CB2A50" w:rsidP="00165993">
            <w:pPr>
              <w:jc w:val="center"/>
              <w:rPr>
                <w:b/>
                <w:sz w:val="18"/>
                <w:szCs w:val="18"/>
              </w:rPr>
            </w:pPr>
            <w:r w:rsidRPr="00234244">
              <w:rPr>
                <w:b/>
                <w:sz w:val="18"/>
                <w:szCs w:val="18"/>
              </w:rPr>
              <w:t>Performance Benchmark</w:t>
            </w:r>
          </w:p>
        </w:tc>
        <w:tc>
          <w:tcPr>
            <w:tcW w:w="5100" w:type="dxa"/>
            <w:gridSpan w:val="6"/>
            <w:shd w:val="clear" w:color="auto" w:fill="EEECE1" w:themeFill="background2"/>
            <w:vAlign w:val="center"/>
          </w:tcPr>
          <w:p w:rsidR="00CB2A50" w:rsidRPr="00234244" w:rsidRDefault="00CB2A50" w:rsidP="00165993">
            <w:pPr>
              <w:jc w:val="center"/>
              <w:rPr>
                <w:b/>
                <w:sz w:val="18"/>
                <w:szCs w:val="18"/>
              </w:rPr>
            </w:pPr>
            <w:r w:rsidRPr="00234244">
              <w:rPr>
                <w:b/>
                <w:sz w:val="18"/>
                <w:szCs w:val="18"/>
              </w:rPr>
              <w:t>Timeline for Assessment</w:t>
            </w:r>
          </w:p>
        </w:tc>
      </w:tr>
      <w:tr w:rsidR="00CB2A50" w:rsidRPr="005D2E1D" w:rsidTr="00234244">
        <w:tc>
          <w:tcPr>
            <w:tcW w:w="2533" w:type="dxa"/>
            <w:vMerge/>
            <w:shd w:val="clear" w:color="auto" w:fill="EEECE1" w:themeFill="background2"/>
            <w:vAlign w:val="center"/>
          </w:tcPr>
          <w:p w:rsidR="00CB2A50" w:rsidRPr="00740594" w:rsidRDefault="00CB2A50" w:rsidP="001659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vMerge/>
            <w:shd w:val="clear" w:color="auto" w:fill="EEECE1" w:themeFill="background2"/>
            <w:vAlign w:val="center"/>
          </w:tcPr>
          <w:p w:rsidR="00CB2A50" w:rsidRPr="00740594" w:rsidRDefault="00CB2A50" w:rsidP="001659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vMerge/>
            <w:shd w:val="clear" w:color="auto" w:fill="EEECE1" w:themeFill="background2"/>
            <w:vAlign w:val="center"/>
          </w:tcPr>
          <w:p w:rsidR="00CB2A50" w:rsidRPr="00740594" w:rsidRDefault="00CB2A50" w:rsidP="001659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CB2A50" w:rsidRPr="00234244" w:rsidRDefault="00CB2A50" w:rsidP="00165993">
            <w:pPr>
              <w:jc w:val="center"/>
              <w:rPr>
                <w:b/>
                <w:sz w:val="18"/>
                <w:szCs w:val="18"/>
              </w:rPr>
            </w:pPr>
            <w:r w:rsidRPr="00234244">
              <w:rPr>
                <w:b/>
                <w:sz w:val="18"/>
                <w:szCs w:val="18"/>
              </w:rPr>
              <w:t>Year 1</w:t>
            </w:r>
          </w:p>
          <w:p w:rsidR="00CB2A50" w:rsidRPr="00234244" w:rsidRDefault="00C061C7" w:rsidP="00165993">
            <w:pPr>
              <w:jc w:val="center"/>
              <w:rPr>
                <w:b/>
                <w:sz w:val="18"/>
                <w:szCs w:val="18"/>
              </w:rPr>
            </w:pPr>
            <w:r w:rsidRPr="00234244">
              <w:rPr>
                <w:b/>
                <w:sz w:val="18"/>
                <w:szCs w:val="18"/>
              </w:rPr>
              <w:t>(17-18)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CB2A50" w:rsidRPr="00234244" w:rsidRDefault="00CB2A50" w:rsidP="00165993">
            <w:pPr>
              <w:jc w:val="center"/>
              <w:rPr>
                <w:b/>
                <w:sz w:val="18"/>
                <w:szCs w:val="18"/>
              </w:rPr>
            </w:pPr>
            <w:r w:rsidRPr="00234244">
              <w:rPr>
                <w:b/>
                <w:sz w:val="18"/>
                <w:szCs w:val="18"/>
              </w:rPr>
              <w:t>Year 2</w:t>
            </w:r>
          </w:p>
          <w:p w:rsidR="00CB2A50" w:rsidRPr="00234244" w:rsidRDefault="00C061C7" w:rsidP="00165993">
            <w:pPr>
              <w:jc w:val="center"/>
              <w:rPr>
                <w:b/>
                <w:sz w:val="18"/>
                <w:szCs w:val="18"/>
              </w:rPr>
            </w:pPr>
            <w:r w:rsidRPr="00234244">
              <w:rPr>
                <w:b/>
                <w:sz w:val="18"/>
                <w:szCs w:val="18"/>
              </w:rPr>
              <w:t>(18-19)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CB2A50" w:rsidRPr="00234244" w:rsidRDefault="00CB2A50" w:rsidP="00165993">
            <w:pPr>
              <w:jc w:val="center"/>
              <w:rPr>
                <w:b/>
                <w:sz w:val="18"/>
                <w:szCs w:val="18"/>
              </w:rPr>
            </w:pPr>
            <w:r w:rsidRPr="00234244">
              <w:rPr>
                <w:b/>
                <w:sz w:val="18"/>
                <w:szCs w:val="18"/>
              </w:rPr>
              <w:t>Year 3</w:t>
            </w:r>
          </w:p>
          <w:p w:rsidR="00CB2A50" w:rsidRPr="00234244" w:rsidRDefault="00C061C7" w:rsidP="00165993">
            <w:pPr>
              <w:jc w:val="center"/>
              <w:rPr>
                <w:b/>
                <w:sz w:val="18"/>
                <w:szCs w:val="18"/>
              </w:rPr>
            </w:pPr>
            <w:r w:rsidRPr="00234244">
              <w:rPr>
                <w:b/>
                <w:sz w:val="18"/>
                <w:szCs w:val="18"/>
              </w:rPr>
              <w:t>(19-20)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CB2A50" w:rsidRPr="00234244" w:rsidRDefault="00CB2A50" w:rsidP="00165993">
            <w:pPr>
              <w:jc w:val="center"/>
              <w:rPr>
                <w:b/>
                <w:sz w:val="18"/>
                <w:szCs w:val="18"/>
              </w:rPr>
            </w:pPr>
            <w:r w:rsidRPr="00234244">
              <w:rPr>
                <w:b/>
                <w:sz w:val="18"/>
                <w:szCs w:val="18"/>
              </w:rPr>
              <w:t>Year 4</w:t>
            </w:r>
          </w:p>
          <w:p w:rsidR="00CB2A50" w:rsidRPr="00234244" w:rsidRDefault="00C061C7" w:rsidP="00165993">
            <w:pPr>
              <w:jc w:val="center"/>
              <w:rPr>
                <w:b/>
                <w:sz w:val="18"/>
                <w:szCs w:val="18"/>
              </w:rPr>
            </w:pPr>
            <w:r w:rsidRPr="00234244">
              <w:rPr>
                <w:b/>
                <w:sz w:val="18"/>
                <w:szCs w:val="18"/>
              </w:rPr>
              <w:t>(20-21)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CB2A50" w:rsidRPr="00234244" w:rsidRDefault="00CB2A50" w:rsidP="00165993">
            <w:pPr>
              <w:jc w:val="center"/>
              <w:rPr>
                <w:b/>
                <w:sz w:val="18"/>
                <w:szCs w:val="18"/>
              </w:rPr>
            </w:pPr>
            <w:r w:rsidRPr="00234244">
              <w:rPr>
                <w:b/>
                <w:sz w:val="18"/>
                <w:szCs w:val="18"/>
              </w:rPr>
              <w:t>Year 5</w:t>
            </w:r>
          </w:p>
          <w:p w:rsidR="00CB2A50" w:rsidRPr="00234244" w:rsidRDefault="00C061C7" w:rsidP="00165993">
            <w:pPr>
              <w:jc w:val="center"/>
              <w:rPr>
                <w:b/>
                <w:sz w:val="18"/>
                <w:szCs w:val="18"/>
              </w:rPr>
            </w:pPr>
            <w:r w:rsidRPr="00234244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21-22</w:t>
            </w:r>
            <w:r w:rsidRPr="0023424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CB2A50" w:rsidRPr="00234244" w:rsidRDefault="00CB2A50" w:rsidP="00165993">
            <w:pPr>
              <w:jc w:val="center"/>
              <w:rPr>
                <w:b/>
                <w:sz w:val="18"/>
                <w:szCs w:val="18"/>
              </w:rPr>
            </w:pPr>
            <w:r w:rsidRPr="00234244">
              <w:rPr>
                <w:b/>
                <w:sz w:val="18"/>
                <w:szCs w:val="18"/>
              </w:rPr>
              <w:t>Year 6</w:t>
            </w:r>
          </w:p>
          <w:p w:rsidR="00CB2A50" w:rsidRPr="00234244" w:rsidRDefault="00C061C7" w:rsidP="001659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(22-23)</w:t>
            </w:r>
          </w:p>
        </w:tc>
      </w:tr>
      <w:tr w:rsidR="00CB2A50" w:rsidTr="00CB2A50">
        <w:trPr>
          <w:trHeight w:val="576"/>
        </w:trPr>
        <w:tc>
          <w:tcPr>
            <w:tcW w:w="2533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</w:tr>
      <w:tr w:rsidR="00CB2A50" w:rsidTr="00CB2A50">
        <w:trPr>
          <w:trHeight w:val="576"/>
        </w:trPr>
        <w:tc>
          <w:tcPr>
            <w:tcW w:w="2533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</w:tr>
      <w:tr w:rsidR="00CB2A50" w:rsidTr="00CB2A50">
        <w:trPr>
          <w:trHeight w:val="576"/>
        </w:trPr>
        <w:tc>
          <w:tcPr>
            <w:tcW w:w="2533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</w:tr>
      <w:tr w:rsidR="00CB2A50" w:rsidTr="00CB2A50">
        <w:trPr>
          <w:trHeight w:val="576"/>
        </w:trPr>
        <w:tc>
          <w:tcPr>
            <w:tcW w:w="2533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</w:tr>
      <w:tr w:rsidR="00CB2A50" w:rsidTr="00CB2A50">
        <w:trPr>
          <w:trHeight w:val="576"/>
        </w:trPr>
        <w:tc>
          <w:tcPr>
            <w:tcW w:w="2533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</w:tr>
      <w:tr w:rsidR="00CB2A50" w:rsidTr="00CB2A50">
        <w:trPr>
          <w:trHeight w:val="576"/>
        </w:trPr>
        <w:tc>
          <w:tcPr>
            <w:tcW w:w="2533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</w:tr>
      <w:tr w:rsidR="00CB2A50" w:rsidTr="00CB2A50">
        <w:trPr>
          <w:trHeight w:val="576"/>
        </w:trPr>
        <w:tc>
          <w:tcPr>
            <w:tcW w:w="2533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2A50" w:rsidRPr="00740594" w:rsidRDefault="00CB2A50" w:rsidP="00165993">
            <w:pPr>
              <w:rPr>
                <w:sz w:val="18"/>
                <w:szCs w:val="18"/>
              </w:rPr>
            </w:pPr>
          </w:p>
        </w:tc>
      </w:tr>
    </w:tbl>
    <w:p w:rsidR="00CB2A50" w:rsidRPr="00740594" w:rsidRDefault="00CB2A50" w:rsidP="00165993">
      <w:pPr>
        <w:spacing w:after="0" w:line="240" w:lineRule="auto"/>
        <w:rPr>
          <w:szCs w:val="24"/>
        </w:rPr>
      </w:pPr>
    </w:p>
    <w:sectPr w:rsidR="00CB2A50" w:rsidRPr="00740594" w:rsidSect="0074059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5BD" w:rsidRDefault="009075BD" w:rsidP="00A31BA4">
      <w:pPr>
        <w:spacing w:after="0" w:line="240" w:lineRule="auto"/>
      </w:pPr>
      <w:r>
        <w:separator/>
      </w:r>
    </w:p>
  </w:endnote>
  <w:endnote w:type="continuationSeparator" w:id="0">
    <w:p w:rsidR="009075BD" w:rsidRDefault="009075BD" w:rsidP="00A3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5BD" w:rsidRDefault="009075BD" w:rsidP="00A31BA4">
      <w:pPr>
        <w:spacing w:after="0" w:line="240" w:lineRule="auto"/>
      </w:pPr>
      <w:r>
        <w:separator/>
      </w:r>
    </w:p>
  </w:footnote>
  <w:footnote w:type="continuationSeparator" w:id="0">
    <w:p w:rsidR="009075BD" w:rsidRDefault="009075BD" w:rsidP="00A31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E07" w:rsidRPr="00CD12FB" w:rsidRDefault="00727E07" w:rsidP="00727E07">
    <w:pPr>
      <w:pStyle w:val="NoSpacing"/>
      <w:jc w:val="center"/>
      <w:rPr>
        <w:b/>
        <w:sz w:val="28"/>
        <w:szCs w:val="28"/>
      </w:rPr>
    </w:pPr>
    <w:r w:rsidRPr="00CD12FB">
      <w:rPr>
        <w:b/>
        <w:sz w:val="28"/>
        <w:szCs w:val="28"/>
      </w:rPr>
      <w:t>Two-Year Reporting Cycle Guidelines for</w:t>
    </w:r>
  </w:p>
  <w:p w:rsidR="00727E07" w:rsidRDefault="00727E07" w:rsidP="00727E07">
    <w:pPr>
      <w:pStyle w:val="NoSpacing"/>
      <w:jc w:val="center"/>
      <w:rPr>
        <w:b/>
        <w:sz w:val="28"/>
        <w:szCs w:val="28"/>
      </w:rPr>
    </w:pPr>
    <w:r w:rsidRPr="00CD12FB">
      <w:rPr>
        <w:b/>
        <w:sz w:val="28"/>
        <w:szCs w:val="28"/>
      </w:rPr>
      <w:t>Student Learning Assessment Reports</w:t>
    </w:r>
  </w:p>
  <w:p w:rsidR="00727E07" w:rsidRDefault="00740594" w:rsidP="00727E07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>September 201</w:t>
    </w:r>
    <w:r w:rsidR="00C061C7">
      <w:rPr>
        <w:b/>
        <w:sz w:val="28"/>
        <w:szCs w:val="28"/>
      </w:rPr>
      <w:t>7</w:t>
    </w:r>
  </w:p>
  <w:p w:rsidR="009E6AF5" w:rsidRPr="00CD12FB" w:rsidRDefault="009E6AF5" w:rsidP="00727E07">
    <w:pPr>
      <w:pStyle w:val="NoSpacing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4FC3"/>
    <w:multiLevelType w:val="hybridMultilevel"/>
    <w:tmpl w:val="4D54DE8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6063E"/>
    <w:multiLevelType w:val="hybridMultilevel"/>
    <w:tmpl w:val="6E2E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061"/>
    <w:multiLevelType w:val="hybridMultilevel"/>
    <w:tmpl w:val="3DB4A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FD4A3A"/>
    <w:multiLevelType w:val="hybridMultilevel"/>
    <w:tmpl w:val="B89021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5A583A"/>
    <w:multiLevelType w:val="hybridMultilevel"/>
    <w:tmpl w:val="97D2F9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1A250C"/>
    <w:multiLevelType w:val="hybridMultilevel"/>
    <w:tmpl w:val="07D2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0276D"/>
    <w:multiLevelType w:val="hybridMultilevel"/>
    <w:tmpl w:val="2BCA61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90485D"/>
    <w:multiLevelType w:val="hybridMultilevel"/>
    <w:tmpl w:val="A324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9276F4"/>
    <w:multiLevelType w:val="hybridMultilevel"/>
    <w:tmpl w:val="0FD0F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4D7D1E"/>
    <w:multiLevelType w:val="hybridMultilevel"/>
    <w:tmpl w:val="43B83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DE0B1E"/>
    <w:multiLevelType w:val="hybridMultilevel"/>
    <w:tmpl w:val="54ACE1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3C0B43"/>
    <w:multiLevelType w:val="hybridMultilevel"/>
    <w:tmpl w:val="9B627A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683002"/>
    <w:multiLevelType w:val="hybridMultilevel"/>
    <w:tmpl w:val="992A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87D30"/>
    <w:multiLevelType w:val="hybridMultilevel"/>
    <w:tmpl w:val="E1F295C8"/>
    <w:lvl w:ilvl="0" w:tplc="29843BA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4AFE3004"/>
    <w:multiLevelType w:val="hybridMultilevel"/>
    <w:tmpl w:val="6B9EE3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D70FE9"/>
    <w:multiLevelType w:val="hybridMultilevel"/>
    <w:tmpl w:val="24009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2429E"/>
    <w:multiLevelType w:val="hybridMultilevel"/>
    <w:tmpl w:val="EA6E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37937"/>
    <w:multiLevelType w:val="hybridMultilevel"/>
    <w:tmpl w:val="08063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D0933"/>
    <w:multiLevelType w:val="hybridMultilevel"/>
    <w:tmpl w:val="473AD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13"/>
  </w:num>
  <w:num w:numId="10">
    <w:abstractNumId w:val="15"/>
  </w:num>
  <w:num w:numId="11">
    <w:abstractNumId w:val="14"/>
  </w:num>
  <w:num w:numId="12">
    <w:abstractNumId w:val="8"/>
  </w:num>
  <w:num w:numId="13">
    <w:abstractNumId w:val="18"/>
  </w:num>
  <w:num w:numId="14">
    <w:abstractNumId w:val="17"/>
  </w:num>
  <w:num w:numId="15">
    <w:abstractNumId w:val="5"/>
  </w:num>
  <w:num w:numId="16">
    <w:abstractNumId w:val="7"/>
  </w:num>
  <w:num w:numId="17">
    <w:abstractNumId w:val="3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EA"/>
    <w:rsid w:val="00042E79"/>
    <w:rsid w:val="00131544"/>
    <w:rsid w:val="00154175"/>
    <w:rsid w:val="00165993"/>
    <w:rsid w:val="001700B8"/>
    <w:rsid w:val="001E36BA"/>
    <w:rsid w:val="00234244"/>
    <w:rsid w:val="002502AB"/>
    <w:rsid w:val="002A19D6"/>
    <w:rsid w:val="002E36A5"/>
    <w:rsid w:val="003A1CE1"/>
    <w:rsid w:val="003B1FD9"/>
    <w:rsid w:val="0046331E"/>
    <w:rsid w:val="00465D3A"/>
    <w:rsid w:val="00480515"/>
    <w:rsid w:val="004B08EA"/>
    <w:rsid w:val="004C2FB4"/>
    <w:rsid w:val="00502D47"/>
    <w:rsid w:val="0055170E"/>
    <w:rsid w:val="00555DF7"/>
    <w:rsid w:val="00562AE9"/>
    <w:rsid w:val="005756E0"/>
    <w:rsid w:val="00641EB2"/>
    <w:rsid w:val="00650359"/>
    <w:rsid w:val="00684781"/>
    <w:rsid w:val="006B3792"/>
    <w:rsid w:val="00705F8A"/>
    <w:rsid w:val="007168CB"/>
    <w:rsid w:val="00727E07"/>
    <w:rsid w:val="00740594"/>
    <w:rsid w:val="007C3DDF"/>
    <w:rsid w:val="008527D9"/>
    <w:rsid w:val="00875FFB"/>
    <w:rsid w:val="00887258"/>
    <w:rsid w:val="00891FE7"/>
    <w:rsid w:val="009075BD"/>
    <w:rsid w:val="009E6AF5"/>
    <w:rsid w:val="00A31BA4"/>
    <w:rsid w:val="00A603B3"/>
    <w:rsid w:val="00A74A8E"/>
    <w:rsid w:val="00AD0715"/>
    <w:rsid w:val="00B17487"/>
    <w:rsid w:val="00B23323"/>
    <w:rsid w:val="00C061C7"/>
    <w:rsid w:val="00C5659C"/>
    <w:rsid w:val="00C94A19"/>
    <w:rsid w:val="00CB2A50"/>
    <w:rsid w:val="00CB5DD9"/>
    <w:rsid w:val="00CC3807"/>
    <w:rsid w:val="00CD12FB"/>
    <w:rsid w:val="00DA4400"/>
    <w:rsid w:val="00DC5E51"/>
    <w:rsid w:val="00DF4C99"/>
    <w:rsid w:val="00E911EB"/>
    <w:rsid w:val="00EB47D2"/>
    <w:rsid w:val="00EC47CE"/>
    <w:rsid w:val="00F00C83"/>
    <w:rsid w:val="00F122D1"/>
    <w:rsid w:val="00F2348D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06DC1C-05C1-43C4-9ACF-9B187DF0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8EA"/>
    <w:pPr>
      <w:ind w:left="720"/>
      <w:contextualSpacing/>
    </w:pPr>
  </w:style>
  <w:style w:type="paragraph" w:styleId="NoSpacing">
    <w:name w:val="No Spacing"/>
    <w:uiPriority w:val="1"/>
    <w:qFormat/>
    <w:rsid w:val="005756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1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BA4"/>
  </w:style>
  <w:style w:type="paragraph" w:styleId="Footer">
    <w:name w:val="footer"/>
    <w:basedOn w:val="Normal"/>
    <w:link w:val="FooterChar"/>
    <w:uiPriority w:val="99"/>
    <w:unhideWhenUsed/>
    <w:rsid w:val="00A31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BA4"/>
  </w:style>
  <w:style w:type="paragraph" w:styleId="BalloonText">
    <w:name w:val="Balloon Text"/>
    <w:basedOn w:val="Normal"/>
    <w:link w:val="BalloonTextChar"/>
    <w:uiPriority w:val="99"/>
    <w:semiHidden/>
    <w:unhideWhenUsed/>
    <w:rsid w:val="0072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059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656E7-A643-4E24-86D4-812CE1DF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cjones</dc:creator>
  <cp:lastModifiedBy>aboudino</cp:lastModifiedBy>
  <cp:revision>3</cp:revision>
  <cp:lastPrinted>2011-03-25T14:14:00Z</cp:lastPrinted>
  <dcterms:created xsi:type="dcterms:W3CDTF">2017-09-18T14:15:00Z</dcterms:created>
  <dcterms:modified xsi:type="dcterms:W3CDTF">2017-09-18T14:16:00Z</dcterms:modified>
</cp:coreProperties>
</file>